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Autospacing="1" w:afterAutospacing="1"/>
        <w:ind w:firstLine="689" w:firstLineChars="245"/>
        <w:jc w:val="left"/>
        <w:rPr>
          <w:rFonts w:cs="宋体" w:asciiTheme="minorEastAsia" w:hAnsiTheme="minorEastAsia"/>
          <w:b/>
          <w:bCs/>
          <w:color w:val="000000"/>
          <w:kern w:val="0"/>
          <w:szCs w:val="21"/>
        </w:rPr>
      </w:pPr>
      <w:r>
        <w:rPr>
          <w:rFonts w:hint="eastAsia"/>
          <w:b/>
          <w:bCs/>
          <w:color w:val="000000"/>
          <w:sz w:val="28"/>
          <w:szCs w:val="28"/>
          <w:shd w:val="clear" w:color="auto" w:fill="FFFFE0"/>
        </w:rPr>
        <w:t>金奥36号独山建设私募投资基金2018年</w:t>
      </w:r>
      <w:r>
        <w:rPr>
          <w:rFonts w:hint="eastAsia"/>
          <w:b/>
          <w:bCs/>
          <w:color w:val="000000"/>
          <w:sz w:val="28"/>
          <w:szCs w:val="28"/>
          <w:shd w:val="clear" w:color="auto" w:fill="FFFFE0"/>
          <w:lang w:eastAsia="zh-CN"/>
        </w:rPr>
        <w:t>三</w:t>
      </w:r>
      <w:r>
        <w:rPr>
          <w:rFonts w:hint="eastAsia"/>
          <w:b/>
          <w:bCs/>
          <w:color w:val="000000"/>
          <w:sz w:val="28"/>
          <w:szCs w:val="28"/>
          <w:shd w:val="clear" w:color="auto" w:fill="FFFFE0"/>
        </w:rPr>
        <w:t>季度报告</w:t>
      </w:r>
    </w:p>
    <w:p>
      <w:pPr>
        <w:widowControl/>
        <w:shd w:val="clear" w:color="auto" w:fill="FFFFFF"/>
        <w:spacing w:beforeAutospacing="1" w:afterAutospacing="1"/>
        <w:jc w:val="left"/>
        <w:rPr>
          <w:rFonts w:cs="宋体" w:asciiTheme="minorEastAsia" w:hAnsiTheme="minorEastAsia"/>
          <w:b/>
          <w:bCs/>
          <w:color w:val="000000"/>
          <w:kern w:val="0"/>
          <w:szCs w:val="21"/>
        </w:rPr>
      </w:pPr>
      <w:r>
        <w:rPr>
          <w:rFonts w:hint="eastAsia" w:cs="宋体" w:asciiTheme="minorEastAsia" w:hAnsiTheme="minorEastAsia"/>
          <w:b/>
          <w:bCs/>
          <w:color w:val="000000"/>
          <w:kern w:val="0"/>
          <w:szCs w:val="21"/>
        </w:rPr>
        <w:t>1、 </w:t>
      </w:r>
      <w:bookmarkStart w:id="0" w:name="_Toc445130137"/>
      <w:r>
        <w:rPr>
          <w:rFonts w:hint="eastAsia" w:cs="宋体" w:asciiTheme="minorEastAsia" w:hAnsiTheme="minorEastAsia"/>
          <w:b/>
          <w:bCs/>
          <w:color w:val="000000"/>
          <w:kern w:val="0"/>
          <w:szCs w:val="21"/>
        </w:rPr>
        <w:t> </w:t>
      </w:r>
      <w:bookmarkEnd w:id="0"/>
      <w:r>
        <w:rPr>
          <w:rFonts w:hint="eastAsia" w:cs="宋体" w:asciiTheme="minorEastAsia" w:hAnsiTheme="minorEastAsia"/>
          <w:b/>
          <w:bCs/>
          <w:color w:val="000000"/>
          <w:kern w:val="0"/>
          <w:szCs w:val="21"/>
        </w:rPr>
        <w:t>基金产品概况</w:t>
      </w:r>
      <w:bookmarkStart w:id="1" w:name="book_26"/>
      <w:r>
        <w:rPr>
          <w:rFonts w:cs="宋体" w:asciiTheme="minorEastAsia" w:hAnsiTheme="minorEastAsia"/>
          <w:color w:val="000000"/>
          <w:kern w:val="0"/>
          <w:szCs w:val="21"/>
        </w:rPr>
        <w:t> </w:t>
      </w:r>
      <w:bookmarkEnd w:id="1"/>
    </w:p>
    <w:p>
      <w:pPr>
        <w:widowControl/>
        <w:shd w:val="clear" w:color="auto" w:fill="FFFFFF"/>
        <w:spacing w:beforeAutospacing="1" w:afterAutospacing="1"/>
        <w:jc w:val="left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hint="eastAsia" w:cs="宋体" w:asciiTheme="minorEastAsia" w:hAnsiTheme="minorEastAsia"/>
          <w:color w:val="000000"/>
          <w:kern w:val="0"/>
          <w:szCs w:val="21"/>
        </w:rPr>
        <w:t>1.1 基金基本情况</w:t>
      </w:r>
    </w:p>
    <w:tbl>
      <w:tblPr>
        <w:tblStyle w:val="5"/>
        <w:tblW w:w="930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4650"/>
        <w:gridCol w:w="465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基金名称</w:t>
            </w:r>
          </w:p>
        </w:tc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FEFEF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EFEFEF"/>
              </w:rPr>
              <w:t>金奥36号独山建设私募投资基金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77" w:hRule="atLeast"/>
        </w:trPr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基金编号</w:t>
            </w:r>
          </w:p>
        </w:tc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shd w:val="clear" w:color="auto" w:fill="EFEFEF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kern w:val="0"/>
                <w:szCs w:val="21"/>
                <w:shd w:val="clear" w:color="auto" w:fill="EFEFEF"/>
              </w:rPr>
              <w:t>SY8498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49" w:hRule="atLeast"/>
        </w:trPr>
        <w:tc>
          <w:tcPr>
            <w:tcW w:w="4650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基金运作方式</w:t>
            </w:r>
          </w:p>
        </w:tc>
        <w:tc>
          <w:tcPr>
            <w:tcW w:w="4650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FEFEF"/>
          </w:tcPr>
          <w:p>
            <w:pPr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  <w:shd w:val="clear" w:color="auto" w:fill="EFEFEF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EFEFEF"/>
              </w:rPr>
              <w:t>封闭式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基金成立日期</w:t>
            </w:r>
          </w:p>
        </w:tc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FEFEF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EFEFEF"/>
              </w:rPr>
              <w:t>2017-12-27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基金管理人</w:t>
            </w:r>
          </w:p>
        </w:tc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kern w:val="0"/>
                <w:szCs w:val="21"/>
                <w:shd w:val="clear" w:color="auto" w:fill="FFC1CB"/>
              </w:rPr>
              <w:t>苏州奥普雷斯资产管理</w:t>
            </w: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有限公司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基金托管人（如有）</w:t>
            </w:r>
          </w:p>
        </w:tc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FEFEF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EFEFEF"/>
              </w:rPr>
              <w:t>招商银行股份有限公司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投资顾问（如有）</w:t>
            </w:r>
          </w:p>
        </w:tc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报告期末基金份额总额</w:t>
            </w:r>
          </w:p>
        </w:tc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3,200,000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基金到期日期</w:t>
            </w:r>
          </w:p>
        </w:tc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FEFEF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EFEFEF"/>
              </w:rPr>
              <w:t>2019-12-26</w:t>
            </w:r>
          </w:p>
        </w:tc>
      </w:tr>
    </w:tbl>
    <w:p>
      <w:pPr>
        <w:widowControl/>
        <w:shd w:val="clear" w:color="auto" w:fill="FFFFFF"/>
        <w:jc w:val="left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cs="宋体" w:asciiTheme="minorEastAsia" w:hAnsiTheme="minorEastAsia"/>
          <w:color w:val="000000"/>
          <w:kern w:val="0"/>
          <w:szCs w:val="21"/>
        </w:rPr>
        <w:t> </w:t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1.2 基金产品说明</w:t>
      </w:r>
    </w:p>
    <w:tbl>
      <w:tblPr>
        <w:tblStyle w:val="5"/>
        <w:tblW w:w="930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4650"/>
        <w:gridCol w:w="465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</w:tblPrEx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投资目标</w:t>
            </w:r>
          </w:p>
        </w:tc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在控制风险的前提下，追求本基金财产的增值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</w:tblPrEx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投资策略</w:t>
            </w:r>
          </w:p>
        </w:tc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pStyle w:val="11"/>
              <w:widowControl w:val="0"/>
              <w:autoSpaceDE w:val="0"/>
              <w:autoSpaceDN w:val="0"/>
              <w:spacing w:before="0" w:after="0" w:line="209" w:lineRule="exact"/>
              <w:jc w:val="left"/>
              <w:rPr>
                <w:rFonts w:ascii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cs="宋体"/>
                <w:color w:val="000000"/>
                <w:spacing w:val="4"/>
                <w:sz w:val="21"/>
                <w:lang w:eastAsia="zh-CN"/>
              </w:rPr>
              <w:t>本基金全部认购资金均用于受让</w:t>
            </w:r>
            <w:r>
              <w:rPr>
                <w:rFonts w:hint="eastAsia" w:ascii="宋体" w:hAnsi="宋体" w:cs="宋体" w:eastAsiaTheme="minorEastAsia"/>
                <w:color w:val="000000"/>
                <w:spacing w:val="4"/>
                <w:sz w:val="21"/>
                <w:lang w:eastAsia="zh-CN"/>
              </w:rPr>
              <w:t>贵州瑞茂旅游投资</w:t>
            </w:r>
            <w:r>
              <w:rPr>
                <w:rFonts w:ascii="宋体" w:hAnsi="宋体" w:cs="宋体"/>
                <w:color w:val="000000"/>
                <w:spacing w:val="4"/>
                <w:sz w:val="21"/>
                <w:lang w:eastAsia="zh-CN"/>
              </w:rPr>
              <w:t>开发有限公司对</w:t>
            </w:r>
            <w:r>
              <w:rPr>
                <w:rFonts w:hint="eastAsia" w:ascii="宋体" w:hAnsi="宋体" w:cs="宋体" w:eastAsiaTheme="minorEastAsia"/>
                <w:color w:val="000000"/>
                <w:spacing w:val="4"/>
                <w:sz w:val="21"/>
                <w:lang w:eastAsia="zh-CN"/>
              </w:rPr>
              <w:t>贵州独山经济开发区管委会</w:t>
            </w:r>
            <w:r>
              <w:rPr>
                <w:rFonts w:ascii="宋体" w:hAnsi="宋体" w:cs="宋体"/>
                <w:color w:val="000000"/>
                <w:spacing w:val="1"/>
                <w:sz w:val="21"/>
                <w:lang w:eastAsia="zh-CN"/>
              </w:rPr>
              <w:t>享有的</w:t>
            </w:r>
            <w:r>
              <w:rPr>
                <w:rFonts w:ascii="Times New Roman"/>
                <w:color w:val="000000"/>
                <w:spacing w:val="-1"/>
                <w:sz w:val="21"/>
                <w:lang w:eastAsia="zh-CN"/>
              </w:rPr>
              <w:t xml:space="preserve"> </w:t>
            </w:r>
            <w:r>
              <w:rPr>
                <w:rFonts w:hint="eastAsia" w:ascii="宋体" w:eastAsiaTheme="minorEastAsia"/>
                <w:color w:val="000000"/>
                <w:spacing w:val="1"/>
                <w:sz w:val="21"/>
                <w:lang w:eastAsia="zh-CN"/>
              </w:rPr>
              <w:t>4.5</w:t>
            </w:r>
            <w:r>
              <w:rPr>
                <w:rFonts w:ascii="Times New Roman"/>
                <w:color w:val="000000"/>
                <w:spacing w:val="-2"/>
                <w:sz w:val="21"/>
                <w:lang w:eastAsia="zh-CN"/>
              </w:rPr>
              <w:t xml:space="preserve"> </w:t>
            </w:r>
            <w:r>
              <w:rPr>
                <w:rFonts w:ascii="宋体" w:hAnsi="宋体" w:cs="宋体"/>
                <w:color w:val="000000"/>
                <w:spacing w:val="1"/>
                <w:sz w:val="21"/>
                <w:lang w:eastAsia="zh-CN"/>
              </w:rPr>
              <w:t>亿元应收账款收益权。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业绩比较基准（如有）</w:t>
            </w:r>
          </w:p>
        </w:tc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风险收益特征</w:t>
            </w:r>
          </w:p>
        </w:tc>
        <w:tc>
          <w:tcPr>
            <w:tcW w:w="46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中</w:t>
            </w:r>
          </w:p>
        </w:tc>
      </w:tr>
    </w:tbl>
    <w:p>
      <w:pPr>
        <w:widowControl/>
        <w:shd w:val="clear" w:color="auto" w:fill="FFFFFF"/>
        <w:jc w:val="left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cs="宋体" w:asciiTheme="minorEastAsia" w:hAnsiTheme="minorEastAsia"/>
          <w:color w:val="000000"/>
          <w:kern w:val="0"/>
          <w:szCs w:val="21"/>
        </w:rPr>
        <w:t> </w:t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1.3 基金管理人和基金托管人</w:t>
      </w:r>
    </w:p>
    <w:tbl>
      <w:tblPr>
        <w:tblStyle w:val="5"/>
        <w:tblW w:w="930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138"/>
        <w:gridCol w:w="1328"/>
        <w:gridCol w:w="3417"/>
        <w:gridCol w:w="341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66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pacing w:line="30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项目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pacing w:line="30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基金管理人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pacing w:line="30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基金托管人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66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名称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FEFEF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kern w:val="0"/>
                <w:szCs w:val="21"/>
                <w:shd w:val="clear" w:color="auto" w:fill="EFEFEF"/>
              </w:rPr>
              <w:t>苏州奥普雷斯资产管理</w:t>
            </w: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EFEFEF"/>
              </w:rPr>
              <w:t>有限公司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上海银行股份有限公司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3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pacing w:line="30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信息披露负责人</w:t>
            </w:r>
          </w:p>
        </w:tc>
        <w:tc>
          <w:tcPr>
            <w:tcW w:w="13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姓名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刘小东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崔庆军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3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3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联系电话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4006990512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0512-66960600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3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3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电子邮箱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105408959@qq.com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fldChar w:fldCharType="begin"/>
            </w:r>
            <w:r>
              <w:instrText xml:space="preserve"> HYPERLINK "mailto:wangzch@bosc.com" </w:instrText>
            </w:r>
            <w:r>
              <w:fldChar w:fldCharType="separate"/>
            </w:r>
            <w:r>
              <w:rPr>
                <w:rStyle w:val="7"/>
                <w:rFonts w:hint="eastAsia" w:cs="宋体" w:asciiTheme="minorEastAsia" w:hAnsiTheme="minorEastAsia"/>
                <w:kern w:val="0"/>
                <w:szCs w:val="21"/>
              </w:rPr>
              <w:t>wangzch@bosc.com</w:t>
            </w:r>
            <w:r>
              <w:rPr>
                <w:rStyle w:val="7"/>
                <w:rFonts w:hint="eastAsia" w:cs="宋体" w:asciiTheme="minorEastAsia" w:hAnsiTheme="minorEastAsia"/>
                <w:kern w:val="0"/>
                <w:szCs w:val="21"/>
              </w:rPr>
              <w:fldChar w:fldCharType="end"/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66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传真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0512-67629327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0512-66960600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66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注册地址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苏州高新区华佗路99号6幢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江苏省苏州市时代广场23幢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66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办公地址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苏州工业园区圆融时代广场民生金融大厦1602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江苏省苏州市时代广场23幢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66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邮政编码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215000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215000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66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法定代表人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FEFEF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EFEFEF"/>
              </w:rPr>
              <w:t>刘小东</w:t>
            </w:r>
          </w:p>
        </w:tc>
        <w:tc>
          <w:tcPr>
            <w:tcW w:w="3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崔庆军</w:t>
            </w:r>
          </w:p>
        </w:tc>
      </w:tr>
    </w:tbl>
    <w:p>
      <w:pPr>
        <w:widowControl/>
        <w:shd w:val="clear" w:color="auto" w:fill="FFFFFF"/>
        <w:jc w:val="left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cs="宋体" w:asciiTheme="minorEastAsia" w:hAnsiTheme="minorEastAsia"/>
          <w:color w:val="000000"/>
          <w:kern w:val="0"/>
          <w:szCs w:val="21"/>
        </w:rPr>
        <w:t> </w:t>
      </w:r>
    </w:p>
    <w:p>
      <w:pPr>
        <w:widowControl/>
        <w:shd w:val="clear" w:color="auto" w:fill="FFFFFF"/>
        <w:jc w:val="left"/>
        <w:rPr>
          <w:rFonts w:cs="宋体" w:asciiTheme="minorEastAsia" w:hAnsiTheme="minorEastAsia"/>
          <w:color w:val="000000"/>
          <w:kern w:val="0"/>
          <w:szCs w:val="21"/>
        </w:rPr>
      </w:pPr>
      <w:bookmarkStart w:id="2" w:name="book_29"/>
      <w:r>
        <w:rPr>
          <w:rFonts w:cs="宋体" w:asciiTheme="minorEastAsia" w:hAnsiTheme="minorEastAsia"/>
          <w:color w:val="000000"/>
          <w:kern w:val="0"/>
          <w:szCs w:val="21"/>
        </w:rPr>
        <w:t> </w:t>
      </w:r>
      <w:bookmarkEnd w:id="2"/>
    </w:p>
    <w:p>
      <w:pPr>
        <w:widowControl/>
        <w:shd w:val="clear" w:color="auto" w:fill="FFFFFF"/>
        <w:spacing w:beforeAutospacing="1" w:afterAutospacing="1"/>
        <w:jc w:val="left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hint="eastAsia" w:cs="宋体" w:asciiTheme="minorEastAsia" w:hAnsiTheme="minorEastAsia"/>
          <w:color w:val="000000"/>
          <w:kern w:val="0"/>
          <w:szCs w:val="21"/>
        </w:rPr>
        <w:t>1.4 信息披露方式</w:t>
      </w:r>
    </w:p>
    <w:tbl>
      <w:tblPr>
        <w:tblStyle w:val="5"/>
        <w:tblW w:w="930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30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</w:tblPrEx>
        <w:tc>
          <w:tcPr>
            <w:tcW w:w="93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1．基金管理人网站2．邮寄服务3．传真、电子邮件、短信</w:t>
            </w:r>
          </w:p>
        </w:tc>
      </w:tr>
    </w:tbl>
    <w:p>
      <w:pPr>
        <w:widowControl/>
        <w:shd w:val="clear" w:color="auto" w:fill="FFFFFF"/>
        <w:spacing w:beforeAutospacing="1" w:afterAutospacing="1"/>
        <w:jc w:val="left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hint="eastAsia" w:cs="宋体" w:asciiTheme="minorEastAsia" w:hAnsiTheme="minorEastAsia"/>
          <w:color w:val="000000"/>
          <w:kern w:val="0"/>
          <w:szCs w:val="21"/>
        </w:rPr>
        <w:t>1.5 其他相关资料</w:t>
      </w:r>
    </w:p>
    <w:tbl>
      <w:tblPr>
        <w:tblStyle w:val="5"/>
        <w:tblW w:w="930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3100"/>
        <w:gridCol w:w="3101"/>
        <w:gridCol w:w="309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1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pacing w:line="30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项目</w:t>
            </w:r>
          </w:p>
        </w:tc>
        <w:tc>
          <w:tcPr>
            <w:tcW w:w="31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pacing w:line="30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名称</w:t>
            </w:r>
          </w:p>
        </w:tc>
        <w:tc>
          <w:tcPr>
            <w:tcW w:w="30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pacing w:line="30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办公地址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1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会计师事务所</w:t>
            </w:r>
          </w:p>
        </w:tc>
        <w:tc>
          <w:tcPr>
            <w:tcW w:w="31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无</w:t>
            </w:r>
          </w:p>
        </w:tc>
        <w:tc>
          <w:tcPr>
            <w:tcW w:w="30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1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注册登记机构</w:t>
            </w:r>
          </w:p>
        </w:tc>
        <w:tc>
          <w:tcPr>
            <w:tcW w:w="31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kern w:val="0"/>
                <w:szCs w:val="21"/>
                <w:shd w:val="clear" w:color="auto" w:fill="FFC1CB"/>
              </w:rPr>
              <w:t>苏州奥普雷斯资产管理</w:t>
            </w: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有限公司</w:t>
            </w:r>
          </w:p>
        </w:tc>
        <w:tc>
          <w:tcPr>
            <w:tcW w:w="30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苏州工业园区圆融时代广场民生金融大厦1602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1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外包机构</w:t>
            </w:r>
          </w:p>
        </w:tc>
        <w:tc>
          <w:tcPr>
            <w:tcW w:w="31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上海银行股份有限公司</w:t>
            </w:r>
          </w:p>
        </w:tc>
        <w:tc>
          <w:tcPr>
            <w:tcW w:w="30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中国（上海）自由贸易试验区银城中路168号</w:t>
            </w:r>
          </w:p>
        </w:tc>
      </w:tr>
    </w:tbl>
    <w:p>
      <w:pPr>
        <w:widowControl/>
        <w:shd w:val="clear" w:color="auto" w:fill="FFFFFF"/>
        <w:spacing w:beforeAutospacing="1" w:afterAutospacing="1"/>
        <w:jc w:val="left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hint="eastAsia" w:cs="宋体" w:asciiTheme="minorEastAsia" w:hAnsiTheme="minorEastAsia"/>
          <w:color w:val="000000"/>
          <w:kern w:val="0"/>
          <w:szCs w:val="21"/>
        </w:rPr>
        <w:t>2、 基金净值表现</w:t>
      </w:r>
    </w:p>
    <w:tbl>
      <w:tblPr>
        <w:tblStyle w:val="5"/>
        <w:tblW w:w="930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663"/>
        <w:gridCol w:w="1365"/>
        <w:gridCol w:w="1832"/>
        <w:gridCol w:w="1987"/>
        <w:gridCol w:w="245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6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pacing w:line="30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阶段</w:t>
            </w:r>
          </w:p>
        </w:tc>
        <w:tc>
          <w:tcPr>
            <w:tcW w:w="13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pacing w:line="30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净值增长率（%）</w:t>
            </w:r>
          </w:p>
        </w:tc>
        <w:tc>
          <w:tcPr>
            <w:tcW w:w="18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pacing w:line="30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净值增长率标准差（%）</w:t>
            </w:r>
          </w:p>
        </w:tc>
        <w:tc>
          <w:tcPr>
            <w:tcW w:w="19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pacing w:line="30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业绩比较基准收益率（%）</w:t>
            </w:r>
          </w:p>
        </w:tc>
        <w:tc>
          <w:tcPr>
            <w:tcW w:w="24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</w:tcPr>
          <w:p>
            <w:pPr>
              <w:widowControl/>
              <w:spacing w:line="300" w:lineRule="atLeast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Cs w:val="21"/>
              </w:rPr>
              <w:t>业绩比较基准收益率标准差（%）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6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当季</w:t>
            </w:r>
          </w:p>
        </w:tc>
        <w:tc>
          <w:tcPr>
            <w:tcW w:w="13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  <w:vAlign w:val="center"/>
          </w:tcPr>
          <w:p>
            <w:pPr>
              <w:widowControl/>
              <w:spacing w:line="300" w:lineRule="atLeast"/>
              <w:jc w:val="righ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10</w:t>
            </w:r>
          </w:p>
        </w:tc>
        <w:tc>
          <w:tcPr>
            <w:tcW w:w="18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00" w:lineRule="atLeast"/>
              <w:jc w:val="righ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9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300" w:lineRule="atLeast"/>
              <w:jc w:val="righ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10</w:t>
            </w:r>
          </w:p>
        </w:tc>
        <w:tc>
          <w:tcPr>
            <w:tcW w:w="24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300" w:lineRule="atLeast"/>
              <w:jc w:val="righ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6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自基金合同生效起至今</w:t>
            </w:r>
          </w:p>
        </w:tc>
        <w:tc>
          <w:tcPr>
            <w:tcW w:w="13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C1CB"/>
            <w:vAlign w:val="center"/>
          </w:tcPr>
          <w:p>
            <w:pPr>
              <w:widowControl/>
              <w:spacing w:line="300" w:lineRule="atLeast"/>
              <w:jc w:val="righ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shd w:val="clear" w:color="auto" w:fill="FFC1CB"/>
              </w:rPr>
              <w:t>10</w:t>
            </w:r>
          </w:p>
        </w:tc>
        <w:tc>
          <w:tcPr>
            <w:tcW w:w="18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00" w:lineRule="atLeast"/>
              <w:jc w:val="righ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9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300" w:lineRule="atLeast"/>
              <w:jc w:val="righ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10</w:t>
            </w:r>
          </w:p>
        </w:tc>
        <w:tc>
          <w:tcPr>
            <w:tcW w:w="24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300" w:lineRule="atLeast"/>
              <w:jc w:val="righ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0</w:t>
            </w:r>
          </w:p>
        </w:tc>
      </w:tr>
    </w:tbl>
    <w:p>
      <w:pPr>
        <w:widowControl/>
        <w:shd w:val="clear" w:color="auto" w:fill="FFFFFF"/>
        <w:tabs>
          <w:tab w:val="left" w:pos="335"/>
          <w:tab w:val="right" w:pos="8306"/>
        </w:tabs>
        <w:spacing w:beforeAutospacing="1" w:afterAutospacing="1"/>
        <w:jc w:val="left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cs="宋体" w:asciiTheme="minorEastAsia" w:hAnsiTheme="minorEastAsia"/>
          <w:color w:val="000000"/>
          <w:kern w:val="0"/>
          <w:szCs w:val="21"/>
        </w:rPr>
        <w:tab/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3、主要财务指标</w:t>
      </w:r>
      <w:r>
        <w:rPr>
          <w:rFonts w:cs="宋体" w:asciiTheme="minorEastAsia" w:hAnsiTheme="minorEastAsia"/>
          <w:color w:val="000000"/>
          <w:kern w:val="0"/>
          <w:szCs w:val="21"/>
        </w:rPr>
        <w:tab/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单位：份</w:t>
      </w:r>
    </w:p>
    <w:tbl>
      <w:tblPr>
        <w:tblStyle w:val="5"/>
        <w:tblW w:w="930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6294"/>
        <w:gridCol w:w="300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62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项目</w:t>
            </w:r>
          </w:p>
        </w:tc>
        <w:tc>
          <w:tcPr>
            <w:tcW w:w="30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00" w:lineRule="atLeast"/>
              <w:jc w:val="right"/>
              <w:rPr>
                <w:rFonts w:hint="eastAsia" w:cs="宋体" w:asciiTheme="minorEastAsia" w:hAnsiTheme="minor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2018-0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-01至2018-0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-3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62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本期已实现收益</w:t>
            </w:r>
          </w:p>
        </w:tc>
        <w:tc>
          <w:tcPr>
            <w:tcW w:w="30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00" w:lineRule="atLeast"/>
              <w:jc w:val="righ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62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bookmarkStart w:id="3" w:name="_GoBack"/>
            <w:bookmarkEnd w:id="3"/>
            <w:r>
              <w:rPr>
                <w:rFonts w:hint="eastAsia" w:cs="宋体" w:asciiTheme="minorEastAsia" w:hAnsiTheme="minorEastAsia"/>
                <w:kern w:val="0"/>
                <w:szCs w:val="21"/>
              </w:rPr>
              <w:t>期末基金资产净值</w:t>
            </w:r>
          </w:p>
        </w:tc>
        <w:tc>
          <w:tcPr>
            <w:tcW w:w="30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00" w:lineRule="atLeast"/>
              <w:jc w:val="righ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3,200,000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62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pacing w:line="300" w:lineRule="atLeast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期末基金份额净值</w:t>
            </w:r>
          </w:p>
        </w:tc>
        <w:tc>
          <w:tcPr>
            <w:tcW w:w="30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00" w:lineRule="atLeast"/>
              <w:jc w:val="righ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</w:tc>
      </w:tr>
    </w:tbl>
    <w:p>
      <w:pPr>
        <w:widowControl/>
        <w:shd w:val="clear" w:color="auto" w:fill="FFFFFF"/>
        <w:ind w:firstLine="210" w:firstLineChars="100"/>
        <w:jc w:val="left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hint="eastAsia" w:cs="宋体" w:asciiTheme="minorEastAsia" w:hAnsiTheme="minorEastAsia"/>
          <w:color w:val="000000"/>
          <w:kern w:val="0"/>
          <w:szCs w:val="21"/>
        </w:rPr>
        <w:t>4、基金份额变动情况</w:t>
      </w:r>
    </w:p>
    <w:p>
      <w:pPr>
        <w:widowControl/>
        <w:shd w:val="clear" w:color="auto" w:fill="FFFFFF"/>
        <w:ind w:firstLine="7560" w:firstLineChars="3600"/>
        <w:jc w:val="left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hint="eastAsia" w:cs="宋体" w:asciiTheme="minorEastAsia" w:hAnsiTheme="minorEastAsia"/>
          <w:color w:val="000000"/>
          <w:kern w:val="0"/>
          <w:szCs w:val="21"/>
        </w:rPr>
        <w:t>单位：份</w:t>
      </w:r>
    </w:p>
    <w:tbl>
      <w:tblPr>
        <w:tblStyle w:val="5"/>
        <w:tblW w:w="930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6482"/>
        <w:gridCol w:w="281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4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hd w:val="clear" w:color="auto" w:fill="FFFFFF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报告期期初基金份额总额</w:t>
            </w:r>
          </w:p>
        </w:tc>
        <w:tc>
          <w:tcPr>
            <w:tcW w:w="15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FEFEF"/>
            <w:vAlign w:val="center"/>
          </w:tcPr>
          <w:p>
            <w:pPr>
              <w:widowControl/>
              <w:shd w:val="clear" w:color="auto" w:fill="FFFFFF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3,200,000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4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hd w:val="clear" w:color="auto" w:fill="FFFFFF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报告期期间基金总申购份额</w:t>
            </w:r>
          </w:p>
        </w:tc>
        <w:tc>
          <w:tcPr>
            <w:tcW w:w="15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FEFEF"/>
            <w:vAlign w:val="center"/>
          </w:tcPr>
          <w:p>
            <w:pPr>
              <w:widowControl/>
              <w:shd w:val="clear" w:color="auto" w:fill="FFFFFF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0.00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4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hd w:val="clear" w:color="auto" w:fill="FFFFFF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减：报告期期间基金总赎回份额</w:t>
            </w:r>
          </w:p>
        </w:tc>
        <w:tc>
          <w:tcPr>
            <w:tcW w:w="15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FEFEF"/>
            <w:vAlign w:val="center"/>
          </w:tcPr>
          <w:p>
            <w:pPr>
              <w:widowControl/>
              <w:shd w:val="clear" w:color="auto" w:fill="FFFFFF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0.00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4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hd w:val="clear" w:color="auto" w:fill="FFFFFF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报告期期间基金拆分变动份额（份额减少以“-”填列）</w:t>
            </w:r>
          </w:p>
        </w:tc>
        <w:tc>
          <w:tcPr>
            <w:tcW w:w="15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FEFEF"/>
            <w:vAlign w:val="center"/>
          </w:tcPr>
          <w:p>
            <w:pPr>
              <w:widowControl/>
              <w:shd w:val="clear" w:color="auto" w:fill="FFFFFF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0.00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4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5FAFE"/>
            <w:vAlign w:val="center"/>
          </w:tcPr>
          <w:p>
            <w:pPr>
              <w:widowControl/>
              <w:shd w:val="clear" w:color="auto" w:fill="FFFFFF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报告期期末基金份额总额</w:t>
            </w:r>
          </w:p>
        </w:tc>
        <w:tc>
          <w:tcPr>
            <w:tcW w:w="15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FEFEF"/>
            <w:vAlign w:val="center"/>
          </w:tcPr>
          <w:p>
            <w:pPr>
              <w:widowControl/>
              <w:shd w:val="clear" w:color="auto" w:fill="FFFFFF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3,200,000</w:t>
            </w:r>
          </w:p>
        </w:tc>
      </w:tr>
    </w:tbl>
    <w:p>
      <w:pPr>
        <w:widowControl/>
        <w:shd w:val="clear" w:color="auto" w:fill="FFFFFF"/>
        <w:ind w:firstLine="315" w:firstLineChars="150"/>
        <w:jc w:val="left"/>
        <w:rPr>
          <w:rFonts w:cs="宋体" w:asciiTheme="minorEastAsia" w:hAnsiTheme="minorEastAsia"/>
          <w:color w:val="000000"/>
          <w:kern w:val="0"/>
          <w:szCs w:val="21"/>
        </w:rPr>
      </w:pPr>
    </w:p>
    <w:p>
      <w:pPr>
        <w:widowControl/>
        <w:shd w:val="clear" w:color="auto" w:fill="FFFFFF"/>
        <w:ind w:firstLine="315" w:firstLineChars="150"/>
        <w:jc w:val="left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hint="eastAsia" w:cs="宋体" w:asciiTheme="minorEastAsia" w:hAnsiTheme="minorEastAsia"/>
          <w:color w:val="000000"/>
          <w:kern w:val="0"/>
          <w:szCs w:val="21"/>
        </w:rPr>
        <w:t>5、管理人报告</w:t>
      </w:r>
    </w:p>
    <w:p>
      <w:pPr>
        <w:widowControl/>
        <w:shd w:val="clear" w:color="auto" w:fill="FFFFFF"/>
        <w:jc w:val="left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hint="eastAsia" w:cs="宋体" w:asciiTheme="minorEastAsia" w:hAnsiTheme="minorEastAsia"/>
          <w:color w:val="000000"/>
          <w:kern w:val="0"/>
          <w:szCs w:val="21"/>
        </w:rPr>
        <w:t>（如报告期内高管、基金经理及其关联基金经验、基金运作遵规守信情况、基金投资策略和业绩表现、对宏观经济、证券市场及其行业走势展望、内部基金监察稽核工作、基金估值程序、基金运作情况和运用杠杆情况、投资收益分配和损失承担情况、会计师事务所出具非标准审计报告所涉相关事项、对本基金持有人数或基金资产净值预警情形、可能存在的利益冲突等）</w:t>
      </w:r>
    </w:p>
    <w:tbl>
      <w:tblPr>
        <w:tblStyle w:val="5"/>
        <w:tblW w:w="930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30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</w:tblPrEx>
        <w:tc>
          <w:tcPr>
            <w:tcW w:w="500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widowControl/>
              <w:shd w:val="clear" w:color="auto" w:fill="FFFFFF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基金正常运作,管理人根据基金合同履行相关义务。</w:t>
            </w:r>
          </w:p>
        </w:tc>
      </w:tr>
    </w:tbl>
    <w:p>
      <w:pPr>
        <w:widowControl/>
        <w:shd w:val="clear" w:color="auto" w:fill="FFFFFF"/>
        <w:jc w:val="left"/>
        <w:rPr>
          <w:rFonts w:cs="宋体" w:asciiTheme="minorEastAsia" w:hAnsiTheme="minorEastAsia"/>
          <w:color w:val="000000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cs="宋体" w:asciiTheme="minorEastAsia" w:hAnsiTheme="minorEastAsia"/>
          <w:color w:val="000000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2E9D"/>
    <w:rsid w:val="00083607"/>
    <w:rsid w:val="000A7352"/>
    <w:rsid w:val="0013749A"/>
    <w:rsid w:val="001D7D31"/>
    <w:rsid w:val="00207F9E"/>
    <w:rsid w:val="002C7E10"/>
    <w:rsid w:val="002D4451"/>
    <w:rsid w:val="00327A88"/>
    <w:rsid w:val="0036512D"/>
    <w:rsid w:val="003E4FA2"/>
    <w:rsid w:val="003F4A3E"/>
    <w:rsid w:val="0042137B"/>
    <w:rsid w:val="00422976"/>
    <w:rsid w:val="00474F46"/>
    <w:rsid w:val="004A5DDF"/>
    <w:rsid w:val="004E53D7"/>
    <w:rsid w:val="00543158"/>
    <w:rsid w:val="0059160E"/>
    <w:rsid w:val="005F6D5E"/>
    <w:rsid w:val="00624B7D"/>
    <w:rsid w:val="00671EC4"/>
    <w:rsid w:val="006833FA"/>
    <w:rsid w:val="006E1C58"/>
    <w:rsid w:val="0070500C"/>
    <w:rsid w:val="00727D6F"/>
    <w:rsid w:val="007555C0"/>
    <w:rsid w:val="007E3F50"/>
    <w:rsid w:val="00880514"/>
    <w:rsid w:val="00893BC9"/>
    <w:rsid w:val="00966C52"/>
    <w:rsid w:val="009A124F"/>
    <w:rsid w:val="00A52E9D"/>
    <w:rsid w:val="00BF3C93"/>
    <w:rsid w:val="00C23C40"/>
    <w:rsid w:val="00CA795B"/>
    <w:rsid w:val="00D4738D"/>
    <w:rsid w:val="00DC77C7"/>
    <w:rsid w:val="00DE7C91"/>
    <w:rsid w:val="00E50897"/>
    <w:rsid w:val="00E608DD"/>
    <w:rsid w:val="00E67E68"/>
    <w:rsid w:val="00E70950"/>
    <w:rsid w:val="00F40377"/>
    <w:rsid w:val="00F7100F"/>
    <w:rsid w:val="00F73971"/>
    <w:rsid w:val="00FA46B9"/>
    <w:rsid w:val="00FB41B0"/>
    <w:rsid w:val="00FE1651"/>
    <w:rsid w:val="039748D9"/>
    <w:rsid w:val="172215C2"/>
    <w:rsid w:val="5FAA22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  <w:style w:type="paragraph" w:customStyle="1" w:styleId="11">
    <w:name w:val="Normal_24"/>
    <w:uiPriority w:val="0"/>
    <w:pPr>
      <w:spacing w:before="120" w:after="240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205</Words>
  <Characters>1173</Characters>
  <Lines>9</Lines>
  <Paragraphs>2</Paragraphs>
  <TotalTime>380</TotalTime>
  <ScaleCrop>false</ScaleCrop>
  <LinksUpToDate>false</LinksUpToDate>
  <CharactersWithSpaces>1376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2017-02-04T06:49:00Z</dcterms:created>
  <dc:creator>Microsoft</dc:creator>
  <cp:lastModifiedBy>steven</cp:lastModifiedBy>
  <cp:lastPrinted>2018-03-22T09:00:00Z</cp:lastPrinted>
  <dcterms:modified xsi:type="dcterms:W3CDTF">2020-04-10T02:47:46Z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